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eastAsia="黑体"/>
        </w:rPr>
      </w:pPr>
      <w:r>
        <w:rPr>
          <w:rFonts w:hint="eastAsia" w:ascii="黑体" w:eastAsia="黑体"/>
        </w:rPr>
        <w:t>附件1：</w:t>
      </w:r>
    </w:p>
    <w:p>
      <w:pPr>
        <w:spacing w:line="300" w:lineRule="auto"/>
        <w:rPr>
          <w:rFonts w:ascii="黑体" w:eastAsia="黑体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2017年度全省统一战线理论政策研究参考课题</w:t>
      </w:r>
      <w:bookmarkStart w:id="0" w:name="_GoBack"/>
      <w:bookmarkEnd w:id="0"/>
    </w:p>
    <w:p>
      <w:pPr>
        <w:spacing w:line="300" w:lineRule="auto"/>
        <w:rPr>
          <w:sz w:val="18"/>
          <w:szCs w:val="18"/>
        </w:rPr>
      </w:pP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1</w:t>
      </w:r>
      <w:r>
        <w:rPr>
          <w:rFonts w:hAnsi="Calibri"/>
        </w:rPr>
        <w:t>.</w:t>
      </w:r>
      <w:r>
        <w:rPr>
          <w:rFonts w:hint="eastAsia" w:hAnsi="Calibri"/>
        </w:rPr>
        <w:t>习近平总书记统一战线重要思想研究。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2.统一战线凝心聚力服务“十三五”规划实施研究。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3.加强党外人士思想政治引导研究。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4.换届后民主党派加强自身建设研究。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5.发挥民主党派民主监督作用研究。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6.新形势下党外知识分子统战工作研究。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7.构建“亲”“清”新型政商关系研究。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8.新的社会阶层人士统战工作研究。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9.城镇化条件下民族关系和民族工作研究。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10.宗教工作中坚持“导”研究。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11</w:t>
      </w:r>
      <w:r>
        <w:rPr>
          <w:rFonts w:hAnsi="Calibri"/>
        </w:rPr>
        <w:t>.港澳台海外</w:t>
      </w:r>
      <w:r>
        <w:rPr>
          <w:rFonts w:hint="eastAsia" w:hAnsi="Calibri"/>
        </w:rPr>
        <w:t>统战</w:t>
      </w:r>
      <w:r>
        <w:rPr>
          <w:rFonts w:hAnsi="Calibri"/>
        </w:rPr>
        <w:t>工作研究。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12.党外代表人士成长规律研究。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13.网络统战工作研究。</w:t>
      </w:r>
    </w:p>
    <w:p>
      <w:pPr>
        <w:spacing w:line="300" w:lineRule="auto"/>
        <w:ind w:firstLine="675"/>
        <w:rPr>
          <w:rFonts w:hAnsi="Calibri"/>
        </w:rPr>
      </w:pPr>
      <w:r>
        <w:rPr>
          <w:rFonts w:hint="eastAsia" w:hAnsi="Calibri"/>
        </w:rPr>
        <w:t>14.青年一代党外人士统战工作研究。</w:t>
      </w:r>
    </w:p>
    <w:p>
      <w:pPr>
        <w:spacing w:line="300" w:lineRule="auto"/>
        <w:ind w:left="3" w:leftChars="1" w:firstLine="640" w:firstLineChars="200"/>
        <w:rPr>
          <w:rFonts w:hAnsi="Calibri"/>
        </w:rPr>
      </w:pPr>
      <w:r>
        <w:rPr>
          <w:rFonts w:hint="eastAsia" w:hAnsi="Calibri"/>
        </w:rPr>
        <w:t>15</w:t>
      </w:r>
      <w:r>
        <w:rPr>
          <w:rFonts w:hAnsi="Calibri"/>
        </w:rPr>
        <w:t>.基层统战工作研究。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3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2017-04-13T06:14:51Z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